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1F4D"/>
          <w:sz w:val="32"/>
        </w:rPr>
        <w:t>UNIVERSITY VAN LINES</w:t>
      </w:r>
    </w:p>
    <w:p>
      <w:pPr>
        <w:jc w:val="center"/>
      </w:pPr>
      <w:r>
        <w:rPr>
          <w:b/>
          <w:color w:val="B91C1C"/>
          <w:sz w:val="18"/>
        </w:rPr>
        <w:t>An Educated Move Since 1975</w:t>
      </w:r>
    </w:p>
    <w:p>
      <w:pPr>
        <w:jc w:val="center"/>
      </w:pPr>
      <w:r>
        <w:rPr>
          <w:b/>
          <w:color w:val="0B1F4D"/>
          <w:sz w:val="44"/>
        </w:rPr>
        <w:t>Moving Timeline Checklist</w:t>
      </w:r>
    </w:p>
    <w:p>
      <w:pPr>
        <w:jc w:val="center"/>
      </w:pPr>
      <w:r>
        <w:rPr>
          <w:color w:val="475569"/>
          <w:sz w:val="20"/>
        </w:rPr>
        <w:t>A practical planning guide for buyers, sellers, renters, and families preparing for move day.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256"/>
        <w:gridCol w:w="5256"/>
      </w:tblGrid>
      <w:tr>
        <w:tc>
          <w:tcPr>
            <w:tcW w:type="dxa" w:w="2448"/>
            <w:shd w:fill="0B1F4D"/>
          </w:tcPr>
          <w:p>
            <w:r/>
            <w:r>
              <w:rPr>
                <w:b/>
                <w:color w:val="FFFFFF"/>
                <w:sz w:val="20"/>
              </w:rPr>
              <w:t>8 Weeks Before</w:t>
            </w:r>
          </w:p>
        </w:tc>
        <w:tc>
          <w:tcPr>
            <w:tcW w:type="dxa" w:w="8064"/>
          </w:tcPr>
          <w:p>
            <w:r/>
            <w:r>
              <w:rPr>
                <w:b w:val="0"/>
                <w:sz w:val="18"/>
              </w:rPr>
              <w:t>Obtain moving estimates</w:t>
            </w:r>
            <w:r>
              <w:br/>
            </w:r>
            <w:r>
              <w:rPr>
                <w:b w:val="0"/>
                <w:sz w:val="18"/>
              </w:rPr>
              <w:t>Create a moving budget</w:t>
            </w:r>
            <w:r>
              <w:br/>
            </w:r>
            <w:r>
              <w:rPr>
                <w:b w:val="0"/>
                <w:sz w:val="18"/>
              </w:rPr>
              <w:t>Start decluttering</w:t>
            </w:r>
            <w:r>
              <w:br/>
            </w:r>
            <w:r>
              <w:rPr>
                <w:b w:val="0"/>
                <w:sz w:val="18"/>
              </w:rPr>
              <w:t>Decide what will be sold, donated, stored, or moved</w:t>
            </w:r>
          </w:p>
        </w:tc>
      </w:tr>
      <w:tr>
        <w:tc>
          <w:tcPr>
            <w:tcW w:type="dxa" w:w="2448"/>
            <w:shd w:fill="0B1F4D"/>
          </w:tcPr>
          <w:p>
            <w:r/>
            <w:r>
              <w:rPr>
                <w:b/>
                <w:color w:val="FFFFFF"/>
                <w:sz w:val="20"/>
              </w:rPr>
              <w:t>6 Weeks Before</w:t>
            </w:r>
          </w:p>
        </w:tc>
        <w:tc>
          <w:tcPr>
            <w:tcW w:type="dxa" w:w="8064"/>
          </w:tcPr>
          <w:p>
            <w:r/>
            <w:r>
              <w:rPr>
                <w:b w:val="0"/>
                <w:sz w:val="18"/>
              </w:rPr>
              <w:t>Schedule movers</w:t>
            </w:r>
            <w:r>
              <w:br/>
            </w:r>
            <w:r>
              <w:rPr>
                <w:b w:val="0"/>
                <w:sz w:val="18"/>
              </w:rPr>
              <w:t>Order packing supplies</w:t>
            </w:r>
            <w:r>
              <w:br/>
            </w:r>
            <w:r>
              <w:rPr>
                <w:b w:val="0"/>
                <w:sz w:val="18"/>
              </w:rPr>
              <w:t>Begin packing non-essential items</w:t>
            </w:r>
            <w:r>
              <w:br/>
            </w:r>
            <w:r>
              <w:rPr>
                <w:b w:val="0"/>
                <w:sz w:val="18"/>
              </w:rPr>
              <w:t>Collect building, elevator, parking, and COI requirements</w:t>
            </w:r>
          </w:p>
        </w:tc>
      </w:tr>
      <w:tr>
        <w:tc>
          <w:tcPr>
            <w:tcW w:type="dxa" w:w="2448"/>
            <w:shd w:fill="0B1F4D"/>
          </w:tcPr>
          <w:p>
            <w:r/>
            <w:r>
              <w:rPr>
                <w:b/>
                <w:color w:val="FFFFFF"/>
                <w:sz w:val="20"/>
              </w:rPr>
              <w:t>4 Weeks Before</w:t>
            </w:r>
          </w:p>
        </w:tc>
        <w:tc>
          <w:tcPr>
            <w:tcW w:type="dxa" w:w="8064"/>
          </w:tcPr>
          <w:p>
            <w:r/>
            <w:r>
              <w:rPr>
                <w:b w:val="0"/>
                <w:sz w:val="18"/>
              </w:rPr>
              <w:t>Submit change of address</w:t>
            </w:r>
            <w:r>
              <w:br/>
            </w:r>
            <w:r>
              <w:rPr>
                <w:b w:val="0"/>
                <w:sz w:val="18"/>
              </w:rPr>
              <w:t>Transfer utilities</w:t>
            </w:r>
            <w:r>
              <w:br/>
            </w:r>
            <w:r>
              <w:rPr>
                <w:b w:val="0"/>
                <w:sz w:val="18"/>
              </w:rPr>
              <w:t>Arrange storage if needed</w:t>
            </w:r>
            <w:r>
              <w:br/>
            </w:r>
            <w:r>
              <w:rPr>
                <w:b w:val="0"/>
                <w:sz w:val="18"/>
              </w:rPr>
              <w:t>Confirm closing timeline and move windows</w:t>
            </w:r>
          </w:p>
        </w:tc>
      </w:tr>
      <w:tr>
        <w:tc>
          <w:tcPr>
            <w:tcW w:type="dxa" w:w="2448"/>
            <w:shd w:fill="0B1F4D"/>
          </w:tcPr>
          <w:p>
            <w:r/>
            <w:r>
              <w:rPr>
                <w:b/>
                <w:color w:val="FFFFFF"/>
                <w:sz w:val="20"/>
              </w:rPr>
              <w:t>2 Weeks Before</w:t>
            </w:r>
          </w:p>
        </w:tc>
        <w:tc>
          <w:tcPr>
            <w:tcW w:type="dxa" w:w="8064"/>
          </w:tcPr>
          <w:p>
            <w:r/>
            <w:r>
              <w:rPr>
                <w:b w:val="0"/>
                <w:sz w:val="18"/>
              </w:rPr>
              <w:t>Confirm move date and access details</w:t>
            </w:r>
            <w:r>
              <w:br/>
            </w:r>
            <w:r>
              <w:rPr>
                <w:b w:val="0"/>
                <w:sz w:val="18"/>
              </w:rPr>
              <w:t>Finish most packing</w:t>
            </w:r>
            <w:r>
              <w:br/>
            </w:r>
            <w:r>
              <w:rPr>
                <w:b w:val="0"/>
                <w:sz w:val="18"/>
              </w:rPr>
              <w:t>Arrange childcare or pet care</w:t>
            </w:r>
            <w:r>
              <w:br/>
            </w:r>
            <w:r>
              <w:rPr>
                <w:b w:val="0"/>
                <w:sz w:val="18"/>
              </w:rPr>
              <w:t>Set aside important documents</w:t>
            </w:r>
          </w:p>
        </w:tc>
      </w:tr>
      <w:tr>
        <w:tc>
          <w:tcPr>
            <w:tcW w:type="dxa" w:w="2448"/>
            <w:shd w:fill="0B1F4D"/>
          </w:tcPr>
          <w:p>
            <w:r/>
            <w:r>
              <w:rPr>
                <w:b/>
                <w:color w:val="FFFFFF"/>
                <w:sz w:val="20"/>
              </w:rPr>
              <w:t>1 Week Before</w:t>
            </w:r>
          </w:p>
        </w:tc>
        <w:tc>
          <w:tcPr>
            <w:tcW w:type="dxa" w:w="8064"/>
          </w:tcPr>
          <w:p>
            <w:r/>
            <w:r>
              <w:rPr>
                <w:b w:val="0"/>
                <w:sz w:val="18"/>
              </w:rPr>
              <w:t>Pack essentials box</w:t>
            </w:r>
            <w:r>
              <w:br/>
            </w:r>
            <w:r>
              <w:rPr>
                <w:b w:val="0"/>
                <w:sz w:val="18"/>
              </w:rPr>
              <w:t>Confirm moving details</w:t>
            </w:r>
            <w:r>
              <w:br/>
            </w:r>
            <w:r>
              <w:rPr>
                <w:b w:val="0"/>
                <w:sz w:val="18"/>
              </w:rPr>
              <w:t>Label boxes by room</w:t>
            </w:r>
            <w:r>
              <w:br/>
            </w:r>
            <w:r>
              <w:rPr>
                <w:b w:val="0"/>
                <w:sz w:val="18"/>
              </w:rPr>
              <w:t>Prepare payment method</w:t>
            </w:r>
          </w:p>
        </w:tc>
      </w:tr>
      <w:tr>
        <w:tc>
          <w:tcPr>
            <w:tcW w:type="dxa" w:w="2448"/>
            <w:shd w:fill="0B1F4D"/>
          </w:tcPr>
          <w:p>
            <w:r/>
            <w:r>
              <w:rPr>
                <w:b/>
                <w:color w:val="FFFFFF"/>
                <w:sz w:val="20"/>
              </w:rPr>
              <w:t>Moving Day</w:t>
            </w:r>
          </w:p>
        </w:tc>
        <w:tc>
          <w:tcPr>
            <w:tcW w:type="dxa" w:w="8064"/>
          </w:tcPr>
          <w:p>
            <w:r/>
            <w:r>
              <w:rPr>
                <w:b w:val="0"/>
                <w:sz w:val="18"/>
              </w:rPr>
              <w:t>Walk through the home</w:t>
            </w:r>
            <w:r>
              <w:br/>
            </w:r>
            <w:r>
              <w:rPr>
                <w:b w:val="0"/>
                <w:sz w:val="18"/>
              </w:rPr>
              <w:t>Verify inventory</w:t>
            </w:r>
            <w:r>
              <w:br/>
            </w:r>
            <w:r>
              <w:rPr>
                <w:b w:val="0"/>
                <w:sz w:val="18"/>
              </w:rPr>
              <w:t>Exchange contact information</w:t>
            </w:r>
            <w:r>
              <w:br/>
            </w:r>
            <w:r>
              <w:rPr>
                <w:b w:val="0"/>
                <w:sz w:val="18"/>
              </w:rPr>
              <w:t>Confirm destination access and parking</w:t>
            </w:r>
          </w:p>
        </w:tc>
      </w:tr>
      <w:tr>
        <w:tc>
          <w:tcPr>
            <w:tcW w:type="dxa" w:w="2448"/>
            <w:shd w:fill="0B1F4D"/>
          </w:tcPr>
          <w:p>
            <w:r/>
            <w:r>
              <w:rPr>
                <w:b/>
                <w:color w:val="FFFFFF"/>
                <w:sz w:val="20"/>
              </w:rPr>
              <w:t>After the Move</w:t>
            </w:r>
          </w:p>
        </w:tc>
        <w:tc>
          <w:tcPr>
            <w:tcW w:type="dxa" w:w="8064"/>
          </w:tcPr>
          <w:p>
            <w:r/>
            <w:r>
              <w:rPr>
                <w:b w:val="0"/>
                <w:sz w:val="18"/>
              </w:rPr>
              <w:t>Inspect delivered items</w:t>
            </w:r>
            <w:r>
              <w:br/>
            </w:r>
            <w:r>
              <w:rPr>
                <w:b w:val="0"/>
                <w:sz w:val="18"/>
              </w:rPr>
              <w:t>Update licenses and registrations</w:t>
            </w:r>
            <w:r>
              <w:br/>
            </w:r>
            <w:r>
              <w:rPr>
                <w:b w:val="0"/>
                <w:sz w:val="18"/>
              </w:rPr>
              <w:t>Set up utilities and services</w:t>
            </w:r>
            <w:r>
              <w:br/>
            </w:r>
            <w:r>
              <w:rPr>
                <w:b w:val="0"/>
                <w:sz w:val="18"/>
              </w:rPr>
              <w:t>Leave a review if you had a great experience</w:t>
            </w:r>
          </w:p>
        </w:tc>
      </w:tr>
    </w:tbl>
    <w:p>
      <w:pPr>
        <w:jc w:val="center"/>
      </w:pPr>
      <w:r>
        <w:rPr>
          <w:color w:val="475569"/>
          <w:sz w:val="16"/>
        </w:rPr>
        <w:t>University Van Lines | 1098 Randolph Avenue, Rahway, NJ 07065 | (848) 467-7337 | universityvanlines.com</w:t>
      </w:r>
    </w:p>
    <w:sectPr w:rsidR="00FC693F" w:rsidRPr="0006063C" w:rsidSect="00034616">
      <w:pgSz w:w="12240" w:h="15840"/>
      <w:pgMar w:top="792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