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1F4D"/>
          <w:sz w:val="32"/>
        </w:rPr>
        <w:t>UNIVERSITY VAN LINES</w:t>
      </w:r>
    </w:p>
    <w:p>
      <w:pPr>
        <w:jc w:val="center"/>
      </w:pPr>
      <w:r>
        <w:rPr>
          <w:b/>
          <w:color w:val="B91C1C"/>
          <w:sz w:val="18"/>
        </w:rPr>
        <w:t>An Educated Move Since 1975</w:t>
      </w:r>
    </w:p>
    <w:p>
      <w:pPr>
        <w:jc w:val="center"/>
      </w:pPr>
      <w:r>
        <w:rPr>
          <w:b/>
          <w:color w:val="0B1F4D"/>
          <w:sz w:val="44"/>
        </w:rPr>
        <w:t>Change of Address Checklist</w:t>
      </w:r>
    </w:p>
    <w:p>
      <w:pPr>
        <w:jc w:val="center"/>
      </w:pPr>
      <w:r>
        <w:rPr>
          <w:color w:val="475569"/>
          <w:sz w:val="20"/>
        </w:rPr>
        <w:t>A quick reference for clients after a move or before closing on a new home.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2880"/>
            <w:shd w:fill="B91C1C"/>
          </w:tcPr>
          <w:p>
            <w:r/>
            <w:r>
              <w:rPr>
                <w:b/>
                <w:color w:val="FFFFFF"/>
                <w:sz w:val="20"/>
              </w:rPr>
              <w:t>Government</w:t>
            </w:r>
          </w:p>
        </w:tc>
        <w:tc>
          <w:tcPr>
            <w:tcW w:type="dxa" w:w="7632"/>
          </w:tcPr>
          <w:p>
            <w:r/>
            <w:r>
              <w:rPr>
                <w:b w:val="0"/>
                <w:sz w:val="18"/>
              </w:rPr>
              <w:t>USPS</w:t>
            </w:r>
            <w:r>
              <w:br/>
            </w:r>
            <w:r>
              <w:rPr>
                <w:b w:val="0"/>
                <w:sz w:val="18"/>
              </w:rPr>
              <w:t>DMV</w:t>
            </w:r>
            <w:r>
              <w:br/>
            </w:r>
            <w:r>
              <w:rPr>
                <w:b w:val="0"/>
                <w:sz w:val="18"/>
              </w:rPr>
              <w:t>Voter registration</w:t>
            </w:r>
            <w:r>
              <w:br/>
            </w:r>
            <w:r>
              <w:rPr>
                <w:b w:val="0"/>
                <w:sz w:val="18"/>
              </w:rPr>
              <w:t>IRS</w:t>
            </w:r>
          </w:p>
        </w:tc>
      </w:tr>
      <w:tr>
        <w:tc>
          <w:tcPr>
            <w:tcW w:type="dxa" w:w="2880"/>
            <w:shd w:fill="B91C1C"/>
          </w:tcPr>
          <w:p>
            <w:r/>
            <w:r>
              <w:rPr>
                <w:b/>
                <w:color w:val="FFFFFF"/>
                <w:sz w:val="20"/>
              </w:rPr>
              <w:t>Financial</w:t>
            </w:r>
          </w:p>
        </w:tc>
        <w:tc>
          <w:tcPr>
            <w:tcW w:type="dxa" w:w="7632"/>
          </w:tcPr>
          <w:p>
            <w:r/>
            <w:r>
              <w:rPr>
                <w:b w:val="0"/>
                <w:sz w:val="18"/>
              </w:rPr>
              <w:t>Banks</w:t>
            </w:r>
            <w:r>
              <w:br/>
            </w:r>
            <w:r>
              <w:rPr>
                <w:b w:val="0"/>
                <w:sz w:val="18"/>
              </w:rPr>
              <w:t>Credit cards</w:t>
            </w:r>
            <w:r>
              <w:br/>
            </w:r>
            <w:r>
              <w:rPr>
                <w:b w:val="0"/>
                <w:sz w:val="18"/>
              </w:rPr>
              <w:t>Mortgage lender</w:t>
            </w:r>
            <w:r>
              <w:br/>
            </w:r>
            <w:r>
              <w:rPr>
                <w:b w:val="0"/>
                <w:sz w:val="18"/>
              </w:rPr>
              <w:t>Investment accounts</w:t>
            </w:r>
          </w:p>
        </w:tc>
      </w:tr>
      <w:tr>
        <w:tc>
          <w:tcPr>
            <w:tcW w:type="dxa" w:w="2880"/>
            <w:shd w:fill="B91C1C"/>
          </w:tcPr>
          <w:p>
            <w:r/>
            <w:r>
              <w:rPr>
                <w:b/>
                <w:color w:val="FFFFFF"/>
                <w:sz w:val="20"/>
              </w:rPr>
              <w:t>Insurance</w:t>
            </w:r>
          </w:p>
        </w:tc>
        <w:tc>
          <w:tcPr>
            <w:tcW w:type="dxa" w:w="7632"/>
          </w:tcPr>
          <w:p>
            <w:r/>
            <w:r>
              <w:rPr>
                <w:b w:val="0"/>
                <w:sz w:val="18"/>
              </w:rPr>
              <w:t>Auto insurance</w:t>
            </w:r>
            <w:r>
              <w:br/>
            </w:r>
            <w:r>
              <w:rPr>
                <w:b w:val="0"/>
                <w:sz w:val="18"/>
              </w:rPr>
              <w:t>Homeowners or renters insurance</w:t>
            </w:r>
            <w:r>
              <w:br/>
            </w:r>
            <w:r>
              <w:rPr>
                <w:b w:val="0"/>
                <w:sz w:val="18"/>
              </w:rPr>
              <w:t>Life insurance</w:t>
            </w:r>
            <w:r>
              <w:br/>
            </w:r>
            <w:r>
              <w:rPr>
                <w:b w:val="0"/>
                <w:sz w:val="18"/>
              </w:rPr>
              <w:t>Umbrella policy</w:t>
            </w:r>
          </w:p>
        </w:tc>
      </w:tr>
      <w:tr>
        <w:tc>
          <w:tcPr>
            <w:tcW w:type="dxa" w:w="2880"/>
            <w:shd w:fill="B91C1C"/>
          </w:tcPr>
          <w:p>
            <w:r/>
            <w:r>
              <w:rPr>
                <w:b/>
                <w:color w:val="FFFFFF"/>
                <w:sz w:val="20"/>
              </w:rPr>
              <w:t>Healthcare</w:t>
            </w:r>
          </w:p>
        </w:tc>
        <w:tc>
          <w:tcPr>
            <w:tcW w:type="dxa" w:w="7632"/>
          </w:tcPr>
          <w:p>
            <w:r/>
            <w:r>
              <w:rPr>
                <w:b w:val="0"/>
                <w:sz w:val="18"/>
              </w:rPr>
              <w:t>Primary care physician</w:t>
            </w:r>
            <w:r>
              <w:br/>
            </w:r>
            <w:r>
              <w:rPr>
                <w:b w:val="0"/>
                <w:sz w:val="18"/>
              </w:rPr>
              <w:t>Specialists</w:t>
            </w:r>
            <w:r>
              <w:br/>
            </w:r>
            <w:r>
              <w:rPr>
                <w:b w:val="0"/>
                <w:sz w:val="18"/>
              </w:rPr>
              <w:t>Pharmacy</w:t>
            </w:r>
            <w:r>
              <w:br/>
            </w:r>
            <w:r>
              <w:rPr>
                <w:b w:val="0"/>
                <w:sz w:val="18"/>
              </w:rPr>
              <w:t>Health insurance</w:t>
            </w:r>
          </w:p>
        </w:tc>
      </w:tr>
      <w:tr>
        <w:tc>
          <w:tcPr>
            <w:tcW w:type="dxa" w:w="2880"/>
            <w:shd w:fill="B91C1C"/>
          </w:tcPr>
          <w:p>
            <w:r/>
            <w:r>
              <w:rPr>
                <w:b/>
                <w:color w:val="FFFFFF"/>
                <w:sz w:val="20"/>
              </w:rPr>
              <w:t>Utilities</w:t>
            </w:r>
          </w:p>
        </w:tc>
        <w:tc>
          <w:tcPr>
            <w:tcW w:type="dxa" w:w="7632"/>
          </w:tcPr>
          <w:p>
            <w:r/>
            <w:r>
              <w:rPr>
                <w:b w:val="0"/>
                <w:sz w:val="18"/>
              </w:rPr>
              <w:t>Electric</w:t>
            </w:r>
            <w:r>
              <w:br/>
            </w:r>
            <w:r>
              <w:rPr>
                <w:b w:val="0"/>
                <w:sz w:val="18"/>
              </w:rPr>
              <w:t>Gas</w:t>
            </w:r>
            <w:r>
              <w:br/>
            </w:r>
            <w:r>
              <w:rPr>
                <w:b w:val="0"/>
                <w:sz w:val="18"/>
              </w:rPr>
              <w:t>Water</w:t>
            </w:r>
            <w:r>
              <w:br/>
            </w:r>
            <w:r>
              <w:rPr>
                <w:b w:val="0"/>
                <w:sz w:val="18"/>
              </w:rPr>
              <w:t>Internet</w:t>
            </w:r>
            <w:r>
              <w:br/>
            </w:r>
            <w:r>
              <w:rPr>
                <w:b w:val="0"/>
                <w:sz w:val="18"/>
              </w:rPr>
              <w:t>Cable or streaming services</w:t>
            </w:r>
          </w:p>
        </w:tc>
      </w:tr>
      <w:tr>
        <w:tc>
          <w:tcPr>
            <w:tcW w:type="dxa" w:w="2880"/>
            <w:shd w:fill="B91C1C"/>
          </w:tcPr>
          <w:p>
            <w:r/>
            <w:r>
              <w:rPr>
                <w:b/>
                <w:color w:val="FFFFFF"/>
                <w:sz w:val="20"/>
              </w:rPr>
              <w:t>Personal</w:t>
            </w:r>
          </w:p>
        </w:tc>
        <w:tc>
          <w:tcPr>
            <w:tcW w:type="dxa" w:w="7632"/>
          </w:tcPr>
          <w:p>
            <w:r/>
            <w:r>
              <w:rPr>
                <w:b w:val="0"/>
                <w:sz w:val="18"/>
              </w:rPr>
              <w:t>Employer</w:t>
            </w:r>
            <w:r>
              <w:br/>
            </w:r>
            <w:r>
              <w:rPr>
                <w:b w:val="0"/>
                <w:sz w:val="18"/>
              </w:rPr>
              <w:t>Schools</w:t>
            </w:r>
            <w:r>
              <w:br/>
            </w:r>
            <w:r>
              <w:rPr>
                <w:b w:val="0"/>
                <w:sz w:val="18"/>
              </w:rPr>
              <w:t>Amazon and online shopping</w:t>
            </w:r>
            <w:r>
              <w:br/>
            </w:r>
            <w:r>
              <w:rPr>
                <w:b w:val="0"/>
                <w:sz w:val="18"/>
              </w:rPr>
              <w:t>Subscriptions</w:t>
            </w:r>
            <w:r>
              <w:br/>
            </w:r>
            <w:r>
              <w:rPr>
                <w:b w:val="0"/>
                <w:sz w:val="18"/>
              </w:rPr>
              <w:t>Family and friends</w:t>
            </w:r>
          </w:p>
        </w:tc>
      </w:tr>
      <w:tr>
        <w:tc>
          <w:tcPr>
            <w:tcW w:type="dxa" w:w="2880"/>
            <w:shd w:fill="B91C1C"/>
          </w:tcPr>
          <w:p>
            <w:r/>
            <w:r>
              <w:rPr>
                <w:b/>
                <w:color w:val="FFFFFF"/>
                <w:sz w:val="20"/>
              </w:rPr>
              <w:t>Business Owners</w:t>
            </w:r>
          </w:p>
        </w:tc>
        <w:tc>
          <w:tcPr>
            <w:tcW w:type="dxa" w:w="7632"/>
          </w:tcPr>
          <w:p>
            <w:r/>
            <w:r>
              <w:rPr>
                <w:b w:val="0"/>
                <w:sz w:val="18"/>
              </w:rPr>
              <w:t>Google Business Profile</w:t>
            </w:r>
            <w:r>
              <w:br/>
            </w:r>
            <w:r>
              <w:rPr>
                <w:b w:val="0"/>
                <w:sz w:val="18"/>
              </w:rPr>
              <w:t>Secretary of State</w:t>
            </w:r>
            <w:r>
              <w:br/>
            </w:r>
            <w:r>
              <w:rPr>
                <w:b w:val="0"/>
                <w:sz w:val="18"/>
              </w:rPr>
              <w:t>Licensing agencies</w:t>
            </w:r>
            <w:r>
              <w:br/>
            </w:r>
            <w:r>
              <w:rPr>
                <w:b w:val="0"/>
                <w:sz w:val="18"/>
              </w:rPr>
              <w:t>Vendors</w:t>
            </w:r>
            <w:r>
              <w:br/>
            </w:r>
            <w:r>
              <w:rPr>
                <w:b w:val="0"/>
                <w:sz w:val="18"/>
              </w:rPr>
              <w:t>Customers</w:t>
            </w:r>
          </w:p>
        </w:tc>
      </w:tr>
    </w:tbl>
    <w:p>
      <w:pPr>
        <w:jc w:val="center"/>
      </w:pPr>
      <w:r>
        <w:rPr>
          <w:color w:val="475569"/>
          <w:sz w:val="16"/>
        </w:rPr>
        <w:t>University Van Lines | 1098 Randolph Avenue, Rahway, NJ 07065 | (848) 467-7337 | universityvanlines.com</w:t>
      </w:r>
    </w:p>
    <w:sectPr w:rsidR="00FC693F" w:rsidRPr="0006063C" w:rsidSect="00034616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